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textAlignment w:val="auto"/>
        <w:outlineLvl w:val="9"/>
        <w:rPr>
          <w:rFonts w:hint="eastAsia" w:ascii="黑体" w:hAnsi="黑体" w:eastAsia="黑体" w:cs="黑体"/>
          <w:b/>
          <w:i w:val="0"/>
          <w:caps w:val="0"/>
          <w:color w:val="auto"/>
          <w:spacing w:val="0"/>
          <w:sz w:val="36"/>
          <w:szCs w:val="36"/>
        </w:rPr>
      </w:pPr>
      <w:r>
        <w:rPr>
          <w:rFonts w:hint="eastAsia" w:ascii="黑体" w:hAnsi="黑体" w:eastAsia="黑体" w:cs="黑体"/>
          <w:b/>
          <w:i w:val="0"/>
          <w:caps w:val="0"/>
          <w:color w:val="auto"/>
          <w:spacing w:val="0"/>
          <w:kern w:val="0"/>
          <w:sz w:val="36"/>
          <w:szCs w:val="36"/>
          <w:shd w:val="clear" w:fill="FFFFFF"/>
          <w:lang w:val="en-US" w:eastAsia="zh-CN" w:bidi="ar"/>
        </w:rPr>
        <w:t>证券公司证券自营业务指引</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b w:val="0"/>
          <w:i w:val="0"/>
          <w:caps w:val="0"/>
          <w:color w:val="000000"/>
          <w:spacing w:val="0"/>
          <w:sz w:val="24"/>
          <w:szCs w:val="24"/>
          <w:shd w:val="clear" w:fill="FFFFFF"/>
        </w:rPr>
        <w:t>(2005年11月23日发布）</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b w:val="0"/>
          <w:i w:val="0"/>
          <w:caps w:val="0"/>
          <w:color w:val="000000"/>
          <w:spacing w:val="0"/>
          <w:sz w:val="30"/>
          <w:szCs w:val="30"/>
          <w:shd w:val="clear" w:fill="FFFFFF"/>
        </w:rPr>
      </w:pPr>
      <w:r>
        <w:rPr>
          <w:rFonts w:hint="eastAsia" w:ascii="仿宋" w:hAnsi="仿宋" w:eastAsia="仿宋" w:cs="仿宋"/>
          <w:b w:val="0"/>
          <w:i w:val="0"/>
          <w:caps w:val="0"/>
          <w:color w:val="000000"/>
          <w:spacing w:val="0"/>
          <w:sz w:val="30"/>
          <w:szCs w:val="30"/>
          <w:shd w:val="clear" w:fill="FFFFFF"/>
        </w:rPr>
        <w:t>　　</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rPr>
        <w:t>第一章</w:t>
      </w:r>
      <w:r>
        <w:rPr>
          <w:rFonts w:hint="eastAsia" w:ascii="仿宋" w:hAnsi="仿宋" w:eastAsia="仿宋" w:cs="仿宋"/>
          <w:b/>
          <w:i w:val="0"/>
          <w:caps w:val="0"/>
          <w:color w:val="000000"/>
          <w:spacing w:val="0"/>
          <w:sz w:val="30"/>
          <w:szCs w:val="30"/>
          <w:shd w:val="clear" w:fill="FFFFFF"/>
          <w:lang w:val="en-US"/>
        </w:rPr>
        <w:t>  </w:t>
      </w:r>
      <w:r>
        <w:rPr>
          <w:rFonts w:hint="eastAsia" w:ascii="仿宋" w:hAnsi="仿宋" w:eastAsia="仿宋" w:cs="仿宋"/>
          <w:b/>
          <w:i w:val="0"/>
          <w:caps w:val="0"/>
          <w:color w:val="000000"/>
          <w:spacing w:val="0"/>
          <w:sz w:val="30"/>
          <w:szCs w:val="30"/>
          <w:shd w:val="clear" w:fill="FFFFFF"/>
        </w:rPr>
        <w:t>总</w:t>
      </w:r>
      <w:r>
        <w:rPr>
          <w:rFonts w:hint="eastAsia" w:ascii="仿宋" w:hAnsi="仿宋" w:eastAsia="仿宋" w:cs="仿宋"/>
          <w:b/>
          <w:i w:val="0"/>
          <w:caps w:val="0"/>
          <w:color w:val="000000"/>
          <w:spacing w:val="0"/>
          <w:sz w:val="30"/>
          <w:szCs w:val="30"/>
          <w:shd w:val="clear" w:fill="FFFFFF"/>
          <w:lang w:val="en-US"/>
        </w:rPr>
        <w:t>  </w:t>
      </w:r>
      <w:r>
        <w:rPr>
          <w:rFonts w:hint="eastAsia" w:ascii="仿宋" w:hAnsi="仿宋" w:eastAsia="仿宋" w:cs="仿宋"/>
          <w:b/>
          <w:i w:val="0"/>
          <w:caps w:val="0"/>
          <w:color w:val="000000"/>
          <w:spacing w:val="0"/>
          <w:sz w:val="30"/>
          <w:szCs w:val="30"/>
          <w:shd w:val="clear" w:fill="FFFFFF"/>
        </w:rPr>
        <w:t>则</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b w:val="0"/>
          <w:i w:val="0"/>
          <w:caps w:val="0"/>
          <w:color w:val="000000"/>
          <w:spacing w:val="0"/>
          <w:sz w:val="30"/>
          <w:szCs w:val="30"/>
          <w:shd w:val="clear" w:fill="FFFFFF"/>
          <w:lang w:val="en-US"/>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第一条 为规范证券公司自营业务，有效控制风险，依据有关法律法规的规定和自律规范的要求，制定本指引。</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200"/>
        <w:jc w:val="both"/>
        <w:textAlignment w:val="auto"/>
        <w:outlineLvl w:val="9"/>
        <w:rPr>
          <w:rFonts w:hint="eastAsia" w:ascii="仿宋" w:hAnsi="仿宋" w:eastAsia="仿宋" w:cs="仿宋"/>
          <w:b w:val="0"/>
          <w:i w:val="0"/>
          <w:caps w:val="0"/>
          <w:color w:val="000000"/>
          <w:spacing w:val="0"/>
          <w:sz w:val="30"/>
          <w:szCs w:val="30"/>
          <w:shd w:val="clear" w:fill="FFFFFF"/>
          <w:lang w:val="en-US"/>
        </w:rPr>
      </w:pPr>
      <w:r>
        <w:rPr>
          <w:rFonts w:hint="eastAsia" w:ascii="仿宋" w:hAnsi="仿宋" w:eastAsia="仿宋" w:cs="仿宋"/>
          <w:b w:val="0"/>
          <w:i w:val="0"/>
          <w:caps w:val="0"/>
          <w:color w:val="000000"/>
          <w:spacing w:val="0"/>
          <w:sz w:val="30"/>
          <w:szCs w:val="30"/>
          <w:shd w:val="clear" w:fill="FFFFFF"/>
        </w:rPr>
        <w:t>第二条 证券公司应当按照本指引的要求</w:t>
      </w:r>
      <w:r>
        <w:rPr>
          <w:rFonts w:hint="eastAsia" w:ascii="仿宋" w:hAnsi="仿宋" w:eastAsia="仿宋" w:cs="仿宋"/>
          <w:b w:val="0"/>
          <w:i w:val="0"/>
          <w:caps w:val="0"/>
          <w:color w:val="000000"/>
          <w:spacing w:val="0"/>
          <w:sz w:val="30"/>
          <w:szCs w:val="30"/>
          <w:shd w:val="clear" w:fill="FFFFFF"/>
          <w:lang w:val="en-US"/>
        </w:rPr>
        <w:t>,</w:t>
      </w:r>
      <w:r>
        <w:rPr>
          <w:rFonts w:hint="eastAsia" w:ascii="仿宋" w:hAnsi="仿宋" w:eastAsia="仿宋" w:cs="仿宋"/>
          <w:b w:val="0"/>
          <w:i w:val="0"/>
          <w:caps w:val="0"/>
          <w:color w:val="000000"/>
          <w:spacing w:val="0"/>
          <w:sz w:val="30"/>
          <w:szCs w:val="30"/>
          <w:shd w:val="clear" w:fill="FFFFFF"/>
        </w:rPr>
        <w:t>根据公司经营管理特点和业务运作状况，建立完备的自营业务管理制度、投资决策机制、操作流程和风险监控体系，在风险可测、可控、可承受的前提下从事自营业务。</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eastAsia="zh-CN"/>
        </w:rPr>
        <w:t>第三条</w:t>
      </w:r>
      <w:r>
        <w:rPr>
          <w:rFonts w:hint="eastAsia" w:ascii="仿宋" w:hAnsi="仿宋" w:eastAsia="仿宋" w:cs="仿宋"/>
          <w:b w:val="0"/>
          <w:i w:val="0"/>
          <w:caps w:val="0"/>
          <w:color w:val="000000"/>
          <w:spacing w:val="0"/>
          <w:sz w:val="30"/>
          <w:szCs w:val="30"/>
          <w:shd w:val="clear" w:fill="FFFFFF"/>
          <w:lang w:val="en-US" w:eastAsia="zh-CN"/>
        </w:rPr>
        <w:t xml:space="preserve"> </w:t>
      </w:r>
      <w:r>
        <w:rPr>
          <w:rFonts w:hint="eastAsia" w:ascii="仿宋" w:hAnsi="仿宋" w:eastAsia="仿宋" w:cs="仿宋"/>
          <w:b w:val="0"/>
          <w:i w:val="0"/>
          <w:caps w:val="0"/>
          <w:color w:val="000000"/>
          <w:spacing w:val="0"/>
          <w:sz w:val="30"/>
          <w:szCs w:val="30"/>
          <w:shd w:val="clear" w:fill="FFFFFF"/>
        </w:rPr>
        <w:t>证券公司应当建立健全自营业务责任追究制度。自营业务出现违法违规行为时，要严肃追究有关人员的责任。</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rPr>
        <w:t>第二章</w:t>
      </w:r>
      <w:r>
        <w:rPr>
          <w:rFonts w:hint="eastAsia" w:ascii="仿宋" w:hAnsi="仿宋" w:eastAsia="仿宋" w:cs="仿宋"/>
          <w:b/>
          <w:i w:val="0"/>
          <w:caps w:val="0"/>
          <w:color w:val="000000"/>
          <w:spacing w:val="0"/>
          <w:sz w:val="30"/>
          <w:szCs w:val="30"/>
          <w:shd w:val="clear" w:fill="FFFFFF"/>
          <w:lang w:val="en-US"/>
        </w:rPr>
        <w:t>  </w:t>
      </w:r>
      <w:r>
        <w:rPr>
          <w:rFonts w:hint="eastAsia" w:ascii="仿宋" w:hAnsi="仿宋" w:eastAsia="仿宋" w:cs="仿宋"/>
          <w:b/>
          <w:i w:val="0"/>
          <w:caps w:val="0"/>
          <w:color w:val="000000"/>
          <w:spacing w:val="0"/>
          <w:sz w:val="30"/>
          <w:szCs w:val="30"/>
          <w:shd w:val="clear" w:fill="FFFFFF"/>
        </w:rPr>
        <w:t>决策与授权</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b w:val="0"/>
          <w:i w:val="0"/>
          <w:caps w:val="0"/>
          <w:color w:val="000000"/>
          <w:spacing w:val="0"/>
          <w:sz w:val="30"/>
          <w:szCs w:val="30"/>
          <w:shd w:val="clear" w:fill="FFFFFF"/>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rPr>
        <w:t>第四条 建立健全相对集中、权责统一的投资决策与授权机制。自营业务决策机构原则上应当按照董事会</w:t>
      </w:r>
      <w:r>
        <w:rPr>
          <w:rFonts w:hint="eastAsia" w:ascii="仿宋" w:hAnsi="仿宋" w:eastAsia="仿宋" w:cs="仿宋"/>
          <w:b w:val="0"/>
          <w:i w:val="0"/>
          <w:caps w:val="0"/>
          <w:color w:val="000000"/>
          <w:spacing w:val="0"/>
          <w:sz w:val="30"/>
          <w:szCs w:val="30"/>
          <w:shd w:val="clear" w:fill="FFFFFF"/>
          <w:lang w:val="en-US"/>
        </w:rPr>
        <w:t>―</w:t>
      </w:r>
      <w:r>
        <w:rPr>
          <w:rFonts w:hint="eastAsia" w:ascii="仿宋" w:hAnsi="仿宋" w:eastAsia="仿宋" w:cs="仿宋"/>
          <w:b w:val="0"/>
          <w:i w:val="0"/>
          <w:caps w:val="0"/>
          <w:color w:val="000000"/>
          <w:spacing w:val="0"/>
          <w:sz w:val="30"/>
          <w:szCs w:val="30"/>
          <w:shd w:val="clear" w:fill="FFFFFF"/>
        </w:rPr>
        <w:t>投资决策机构</w:t>
      </w:r>
      <w:r>
        <w:rPr>
          <w:rFonts w:hint="eastAsia" w:ascii="仿宋" w:hAnsi="仿宋" w:eastAsia="仿宋" w:cs="仿宋"/>
          <w:b w:val="0"/>
          <w:i w:val="0"/>
          <w:caps w:val="0"/>
          <w:color w:val="000000"/>
          <w:spacing w:val="0"/>
          <w:sz w:val="30"/>
          <w:szCs w:val="30"/>
          <w:shd w:val="clear" w:fill="FFFFFF"/>
          <w:lang w:val="en-US"/>
        </w:rPr>
        <w:t>―</w:t>
      </w:r>
      <w:r>
        <w:rPr>
          <w:rFonts w:hint="eastAsia" w:ascii="仿宋" w:hAnsi="仿宋" w:eastAsia="仿宋" w:cs="仿宋"/>
          <w:b w:val="0"/>
          <w:i w:val="0"/>
          <w:caps w:val="0"/>
          <w:color w:val="000000"/>
          <w:spacing w:val="0"/>
          <w:sz w:val="30"/>
          <w:szCs w:val="30"/>
          <w:shd w:val="clear" w:fill="FFFFFF"/>
        </w:rPr>
        <w:t>自营业务部门的三级体制设立。</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200"/>
        <w:jc w:val="both"/>
        <w:textAlignment w:val="auto"/>
        <w:outlineLvl w:val="9"/>
        <w:rPr>
          <w:rFonts w:hint="eastAsia" w:ascii="仿宋" w:hAnsi="仿宋" w:eastAsia="仿宋" w:cs="仿宋"/>
          <w:b w:val="0"/>
          <w:i w:val="0"/>
          <w:caps w:val="0"/>
          <w:color w:val="000000"/>
          <w:spacing w:val="0"/>
          <w:sz w:val="30"/>
          <w:szCs w:val="30"/>
          <w:shd w:val="clear" w:fill="FFFFFF"/>
          <w:lang w:val="en-US"/>
        </w:rPr>
      </w:pPr>
      <w:r>
        <w:rPr>
          <w:rFonts w:hint="eastAsia" w:ascii="仿宋" w:hAnsi="仿宋" w:eastAsia="仿宋" w:cs="仿宋"/>
          <w:b w:val="0"/>
          <w:i w:val="0"/>
          <w:caps w:val="0"/>
          <w:color w:val="000000"/>
          <w:spacing w:val="0"/>
          <w:sz w:val="30"/>
          <w:szCs w:val="30"/>
          <w:shd w:val="clear" w:fill="FFFFFF"/>
          <w:lang w:eastAsia="zh-CN"/>
        </w:rPr>
        <w:t>第五条</w:t>
      </w:r>
      <w:r>
        <w:rPr>
          <w:rFonts w:hint="eastAsia" w:ascii="仿宋" w:hAnsi="仿宋" w:eastAsia="仿宋" w:cs="仿宋"/>
          <w:b w:val="0"/>
          <w:i w:val="0"/>
          <w:caps w:val="0"/>
          <w:color w:val="000000"/>
          <w:spacing w:val="0"/>
          <w:sz w:val="30"/>
          <w:szCs w:val="30"/>
          <w:shd w:val="clear" w:fill="FFFFFF"/>
          <w:lang w:val="en-US" w:eastAsia="zh-CN"/>
        </w:rPr>
        <w:t xml:space="preserve"> </w:t>
      </w:r>
      <w:r>
        <w:rPr>
          <w:rFonts w:hint="eastAsia" w:ascii="仿宋" w:hAnsi="仿宋" w:eastAsia="仿宋" w:cs="仿宋"/>
          <w:b w:val="0"/>
          <w:i w:val="0"/>
          <w:caps w:val="0"/>
          <w:color w:val="000000"/>
          <w:spacing w:val="0"/>
          <w:sz w:val="30"/>
          <w:szCs w:val="30"/>
          <w:shd w:val="clear" w:fill="FFFFFF"/>
        </w:rPr>
        <w:t>董事会是自营业务的最高决策机构，在严格遵守监管法规中关于自营业务规模等风险控制指标规定基础上，根据公司资产、负债、损益和资本充足等情况确定自营业务规模、可承受的风险限额等，并以董事会决议的形式进行落实，自营业务具体投资运作管理由董事会授权公司投资决策机构决定。</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投资决策机构是自营业务投资运作的最高管理机构，负责确定具体的资产配置策略、投资事项和投资品种等。</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自营业务部门为自营业务的执行机构，应在投资决策机构做出的决策范围内，根据授权负责具体投资项目的决策和执行工作。</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200"/>
        <w:jc w:val="both"/>
        <w:textAlignment w:val="auto"/>
        <w:outlineLvl w:val="9"/>
        <w:rPr>
          <w:rFonts w:hint="eastAsia" w:ascii="仿宋" w:hAnsi="仿宋" w:eastAsia="仿宋" w:cs="仿宋"/>
          <w:b w:val="0"/>
          <w:i w:val="0"/>
          <w:caps w:val="0"/>
          <w:color w:val="000000"/>
          <w:spacing w:val="0"/>
          <w:sz w:val="30"/>
          <w:szCs w:val="30"/>
          <w:shd w:val="clear" w:fill="FFFFFF"/>
        </w:rPr>
      </w:pPr>
      <w:r>
        <w:rPr>
          <w:rFonts w:hint="eastAsia" w:ascii="仿宋" w:hAnsi="仿宋" w:eastAsia="仿宋" w:cs="仿宋"/>
          <w:b w:val="0"/>
          <w:i w:val="0"/>
          <w:caps w:val="0"/>
          <w:color w:val="000000"/>
          <w:spacing w:val="0"/>
          <w:sz w:val="30"/>
          <w:szCs w:val="30"/>
          <w:shd w:val="clear" w:fill="FFFFFF"/>
        </w:rPr>
        <w:t>第六条 建立健全自营业务授权制度，明确授权权限、时效和责任，对授权过程作书面记录，保证授权制度的有效执行。</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建立层次分明、职责明确的业务管理体系，制定标准的业务操作流程，明确自营业务相关部门、相关岗位的职责。</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200"/>
        <w:jc w:val="both"/>
        <w:textAlignment w:val="auto"/>
        <w:outlineLvl w:val="9"/>
        <w:rPr>
          <w:rFonts w:hint="eastAsia" w:ascii="仿宋" w:hAnsi="仿宋" w:eastAsia="仿宋" w:cs="仿宋"/>
          <w:b w:val="0"/>
          <w:i w:val="0"/>
          <w:caps w:val="0"/>
          <w:color w:val="000000"/>
          <w:spacing w:val="0"/>
          <w:sz w:val="30"/>
          <w:szCs w:val="30"/>
          <w:shd w:val="clear" w:fill="FFFFFF"/>
          <w:lang w:val="en-US"/>
        </w:rPr>
      </w:pP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第七条 自营业务的管理和操作由证券公司自营业务部门专职负责，非自营业务部门和分支机构不得以任何形式开展自营业务。</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第八条 自营业务中涉及自营规模、风险限额、资产配置、业务授权等方面的重大决策应当经过集体决策并采取书面形式，由相关人员签字确认后存档。</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rPr>
        <w:t>第三章</w:t>
      </w:r>
      <w:r>
        <w:rPr>
          <w:rFonts w:hint="eastAsia" w:ascii="仿宋" w:hAnsi="仿宋" w:eastAsia="仿宋" w:cs="仿宋"/>
          <w:b/>
          <w:i w:val="0"/>
          <w:caps w:val="0"/>
          <w:color w:val="000000"/>
          <w:spacing w:val="0"/>
          <w:sz w:val="30"/>
          <w:szCs w:val="30"/>
          <w:shd w:val="clear" w:fill="FFFFFF"/>
          <w:lang w:val="en-US"/>
        </w:rPr>
        <w:t>  </w:t>
      </w:r>
      <w:r>
        <w:rPr>
          <w:rFonts w:hint="eastAsia" w:ascii="仿宋" w:hAnsi="仿宋" w:eastAsia="仿宋" w:cs="仿宋"/>
          <w:b/>
          <w:i w:val="0"/>
          <w:caps w:val="0"/>
          <w:color w:val="000000"/>
          <w:spacing w:val="0"/>
          <w:sz w:val="30"/>
          <w:szCs w:val="30"/>
          <w:shd w:val="clear" w:fill="FFFFFF"/>
        </w:rPr>
        <w:t>自营业务的操作</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b w:val="0"/>
          <w:i w:val="0"/>
          <w:caps w:val="0"/>
          <w:color w:val="000000"/>
          <w:spacing w:val="0"/>
          <w:sz w:val="30"/>
          <w:szCs w:val="30"/>
          <w:shd w:val="clear" w:fill="FFFFFF"/>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第九条 自营业务必须以证券公司自身名义、通过专用自营席位进行，并由非自营业务部门负责自营账户的管理，包括开户、销户、使用登记等。</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200"/>
        <w:jc w:val="both"/>
        <w:textAlignment w:val="auto"/>
        <w:outlineLvl w:val="9"/>
        <w:rPr>
          <w:rFonts w:hint="eastAsia" w:ascii="仿宋" w:hAnsi="仿宋" w:eastAsia="仿宋" w:cs="仿宋"/>
          <w:b w:val="0"/>
          <w:i w:val="0"/>
          <w:caps w:val="0"/>
          <w:color w:val="000000"/>
          <w:spacing w:val="0"/>
          <w:sz w:val="30"/>
          <w:szCs w:val="30"/>
          <w:shd w:val="clear" w:fill="FFFFFF"/>
        </w:rPr>
      </w:pPr>
      <w:r>
        <w:rPr>
          <w:rFonts w:hint="eastAsia" w:ascii="仿宋" w:hAnsi="仿宋" w:eastAsia="仿宋" w:cs="仿宋"/>
          <w:b w:val="0"/>
          <w:i w:val="0"/>
          <w:caps w:val="0"/>
          <w:color w:val="000000"/>
          <w:spacing w:val="0"/>
          <w:sz w:val="30"/>
          <w:szCs w:val="30"/>
          <w:shd w:val="clear" w:fill="FFFFFF"/>
        </w:rPr>
        <w:t>建立健全自营账户的审核和稽核制度，严禁出借自营账户、使用非自营席位变相自营、账外自营。</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200"/>
        <w:jc w:val="both"/>
        <w:textAlignment w:val="auto"/>
        <w:outlineLvl w:val="9"/>
        <w:rPr>
          <w:rFonts w:hint="eastAsia" w:ascii="仿宋" w:hAnsi="仿宋" w:eastAsia="仿宋" w:cs="仿宋"/>
          <w:b w:val="0"/>
          <w:i w:val="0"/>
          <w:caps w:val="0"/>
          <w:color w:val="000000"/>
          <w:spacing w:val="0"/>
          <w:sz w:val="30"/>
          <w:szCs w:val="30"/>
          <w:shd w:val="clear" w:fill="FFFFFF"/>
        </w:rPr>
      </w:pPr>
      <w:r>
        <w:rPr>
          <w:rFonts w:hint="eastAsia" w:ascii="仿宋" w:hAnsi="仿宋" w:eastAsia="仿宋" w:cs="仿宋"/>
          <w:b w:val="0"/>
          <w:i w:val="0"/>
          <w:caps w:val="0"/>
          <w:color w:val="000000"/>
          <w:spacing w:val="0"/>
          <w:sz w:val="30"/>
          <w:szCs w:val="30"/>
          <w:shd w:val="clear" w:fill="FFFFFF"/>
        </w:rPr>
        <w:t>第十条 加强自营业务资金的调度管理和自营业务的会计核算，由非自营业务部门负责自营业务所需资金的调度。</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200"/>
        <w:jc w:val="both"/>
        <w:textAlignment w:val="auto"/>
        <w:outlineLvl w:val="9"/>
        <w:rPr>
          <w:rFonts w:hint="eastAsia" w:ascii="仿宋" w:hAnsi="仿宋" w:eastAsia="仿宋" w:cs="仿宋"/>
          <w:b w:val="0"/>
          <w:i w:val="0"/>
          <w:caps w:val="0"/>
          <w:color w:val="000000"/>
          <w:spacing w:val="0"/>
          <w:sz w:val="30"/>
          <w:szCs w:val="30"/>
          <w:shd w:val="clear" w:fill="FFFFFF"/>
        </w:rPr>
      </w:pPr>
      <w:r>
        <w:rPr>
          <w:rFonts w:hint="eastAsia" w:ascii="仿宋" w:hAnsi="仿宋" w:eastAsia="仿宋" w:cs="仿宋"/>
          <w:b w:val="0"/>
          <w:i w:val="0"/>
          <w:caps w:val="0"/>
          <w:color w:val="000000"/>
          <w:spacing w:val="0"/>
          <w:sz w:val="30"/>
          <w:szCs w:val="30"/>
          <w:shd w:val="clear" w:fill="FFFFFF"/>
        </w:rPr>
        <w:t>自营业务资金的出入必须以公司名义进行，禁止以个人名义从自营账户中调入调出资金，禁止从自营账户中提取现金。</w:t>
      </w:r>
    </w:p>
    <w:p>
      <w:pPr>
        <w:pStyle w:val="2"/>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200"/>
        <w:jc w:val="both"/>
        <w:textAlignment w:val="auto"/>
        <w:outlineLvl w:val="9"/>
        <w:rPr>
          <w:rFonts w:hint="eastAsia" w:ascii="仿宋" w:hAnsi="仿宋" w:eastAsia="仿宋" w:cs="仿宋"/>
          <w:b w:val="0"/>
          <w:i w:val="0"/>
          <w:caps w:val="0"/>
          <w:color w:val="000000"/>
          <w:spacing w:val="0"/>
          <w:sz w:val="30"/>
          <w:szCs w:val="30"/>
          <w:shd w:val="clear" w:fill="FFFFFF"/>
        </w:rPr>
      </w:pPr>
      <w:r>
        <w:rPr>
          <w:rFonts w:hint="eastAsia" w:ascii="仿宋" w:hAnsi="仿宋" w:eastAsia="仿宋" w:cs="仿宋"/>
          <w:b w:val="0"/>
          <w:i w:val="0"/>
          <w:caps w:val="0"/>
          <w:color w:val="000000"/>
          <w:spacing w:val="0"/>
          <w:sz w:val="30"/>
          <w:szCs w:val="30"/>
          <w:shd w:val="clear" w:fill="FFFFFF"/>
        </w:rPr>
        <w:t>完善可投资证券品种的投资论证机制，建立证券池制度，自营业务部门只能在确定的自营规模和可承受风险限额内，从证券池内选择证券进行投资。</w:t>
      </w:r>
    </w:p>
    <w:p>
      <w:pPr>
        <w:pStyle w:val="2"/>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建立健全自营业务运作止盈止损机制，止盈止损的决策、执行与实效评估应当符合规定的程序并进行书面记录。</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建立严密的自营业务操作流程，投资品种的研究、投资组合的制订和决策以及交易指令的执行应当相互分离并由不同人员负责；交易指令执行前应当经过审核，并强制留痕。同时，应建立健全自营业务数据资料备份制度，并由专人负责管理。</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自营业务的清算、统计应由专门人员执行，并与财务部门资金清算人员及时对账，对账情况要有相应记录及相关人员签字。</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对自营资金执行独立清算制度，自营清算岗位应当与经纪业务、资产管理业务及其他业务的清算岗位分离。</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rPr>
        <w:t>第四章</w:t>
      </w:r>
      <w:r>
        <w:rPr>
          <w:rFonts w:hint="eastAsia" w:ascii="仿宋" w:hAnsi="仿宋" w:eastAsia="仿宋" w:cs="仿宋"/>
          <w:b/>
          <w:i w:val="0"/>
          <w:caps w:val="0"/>
          <w:color w:val="000000"/>
          <w:spacing w:val="0"/>
          <w:sz w:val="30"/>
          <w:szCs w:val="30"/>
          <w:shd w:val="clear" w:fill="FFFFFF"/>
          <w:lang w:val="en-US"/>
        </w:rPr>
        <w:t>  </w:t>
      </w:r>
      <w:r>
        <w:rPr>
          <w:rFonts w:hint="eastAsia" w:ascii="仿宋" w:hAnsi="仿宋" w:eastAsia="仿宋" w:cs="仿宋"/>
          <w:b/>
          <w:i w:val="0"/>
          <w:caps w:val="0"/>
          <w:color w:val="000000"/>
          <w:spacing w:val="0"/>
          <w:sz w:val="30"/>
          <w:szCs w:val="30"/>
          <w:shd w:val="clear" w:fill="FFFFFF"/>
        </w:rPr>
        <w:t>风险监控</w:t>
      </w:r>
    </w:p>
    <w:p>
      <w:pPr>
        <w:pStyle w:val="2"/>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200"/>
        <w:jc w:val="both"/>
        <w:textAlignment w:val="auto"/>
        <w:outlineLvl w:val="9"/>
        <w:rPr>
          <w:rFonts w:hint="eastAsia" w:ascii="仿宋" w:hAnsi="仿宋" w:eastAsia="仿宋" w:cs="仿宋"/>
          <w:b w:val="0"/>
          <w:i w:val="0"/>
          <w:caps w:val="0"/>
          <w:color w:val="000000"/>
          <w:spacing w:val="0"/>
          <w:sz w:val="30"/>
          <w:szCs w:val="30"/>
          <w:shd w:val="clear" w:fill="FFFFFF"/>
        </w:rPr>
      </w:pPr>
      <w:r>
        <w:rPr>
          <w:rFonts w:hint="eastAsia" w:ascii="仿宋" w:hAnsi="仿宋" w:eastAsia="仿宋" w:cs="仿宋"/>
          <w:b w:val="0"/>
          <w:i w:val="0"/>
          <w:caps w:val="0"/>
          <w:color w:val="000000"/>
          <w:spacing w:val="0"/>
          <w:sz w:val="30"/>
          <w:szCs w:val="30"/>
          <w:shd w:val="clear" w:fill="FFFFFF"/>
        </w:rPr>
        <w:t>建立防火墙制度，确保自营业务与经纪、资产管理、投资银行等业务在人员、信息、账户、资金、会计核算上严格分离。</w:t>
      </w:r>
    </w:p>
    <w:p>
      <w:pPr>
        <w:pStyle w:val="2"/>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自营业务的投资决策、投资操作、风险监控的机构和职能应当相互独立；自营业务的账户管理、资金清算、会计核算等后台职能应当由独立的部门或岗位负责，以形成有效的自营业务前、中、后相互制衡的监督机制。</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风险监控部门应能够正常履行职责，并能从前、中、后台获取自营业务运作信息与数据，通过建立实时监控系统全方位监控自营业务的风险，建立有效的风险监控报告机制，定期向董事会和投资决策机构提供风险监控报告，并将有关情况通报自营业务部门、合规部门等相关部门，发现业务运作或风险监控指标值存在风险隐患或不合规时，要立即向董事会和投资决策机构报告并提出处理建议。董事会和投资决策机构及自营业务相关部门应对风险监控部门的监控报告和处理建议及时予以反馈，报告与反馈过程要进行书面记录。</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根据自身实际情况，积极借鉴国际先进的风险管理经验，引进和开发有效的风险管理工具，逐步建立完善的风险识别、测量和监控程序，使风险监控走向科学化。</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建立自营业务的逐日盯市制度，健全自营业务风险敞口和公司整体损益情况的联动分析与监控机制，完善风险监控量化指标体系，并定期对自营业务投资组合的市值变化及其对公司以净资本为核心的风险监控指标的潜在影响进行敏感性分析和压力测试。</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　</w:t>
      </w:r>
    </w:p>
    <w:p>
      <w:pPr>
        <w:pStyle w:val="2"/>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建立健全自营业务风险监控系统的功能，根据法律法规和监管要求，在监控系统中设置相应的风险监控阀值，通过系统的预警触发装置自动显示自营业务风险的动态变化，提高动态监控效率。</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提高自营业务运作的透明度。证券自营交易系统、监控系统应当设置必要的开放功能或数据接口，以便监管部门能够及时了解和检查证券公司自营业务情况。</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建立健全自营业务风险监控缺陷的纠正与处理机制，由风险监控部门根据自营业务风险监控的检查情况和评估结果，提出整改意见和纠正措施，并对落实情况进行跟踪检查。</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建立完善的投资决策和投资操作档案管理制度，确保投资过程事后可查证。</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建立完备的业绩考核和激励制度，完善风险调整基础上的绩效考核机制，遵循客观、公正、可量化原则，对自营业务人员的投资能力、业绩水平等情况进行评价。</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稽核部门定期对自营业务的合规运作、盈亏、风险监控等情况进行全面稽核，出具稽核报告。</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加强自营业务人员的职业道德和诚信教育，强化自营业务人员的保密意识、合规操作意识和风险控制意识。自营业务关键岗位人员离任前，应当由稽核部门进行审计。</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rPr>
        <w:t>第五章</w:t>
      </w:r>
      <w:r>
        <w:rPr>
          <w:rFonts w:hint="eastAsia" w:ascii="仿宋" w:hAnsi="仿宋" w:eastAsia="仿宋" w:cs="仿宋"/>
          <w:b/>
          <w:i w:val="0"/>
          <w:caps w:val="0"/>
          <w:color w:val="000000"/>
          <w:spacing w:val="0"/>
          <w:sz w:val="30"/>
          <w:szCs w:val="30"/>
          <w:shd w:val="clear" w:fill="FFFFFF"/>
          <w:lang w:val="en-US"/>
        </w:rPr>
        <w:t>  </w:t>
      </w:r>
      <w:r>
        <w:rPr>
          <w:rFonts w:hint="eastAsia" w:ascii="仿宋" w:hAnsi="仿宋" w:eastAsia="仿宋" w:cs="仿宋"/>
          <w:b/>
          <w:i w:val="0"/>
          <w:caps w:val="0"/>
          <w:color w:val="000000"/>
          <w:spacing w:val="0"/>
          <w:sz w:val="30"/>
          <w:szCs w:val="30"/>
          <w:shd w:val="clear" w:fill="FFFFFF"/>
        </w:rPr>
        <w:t>信息报告</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b w:val="0"/>
          <w:i w:val="0"/>
          <w:caps w:val="0"/>
          <w:color w:val="000000"/>
          <w:spacing w:val="0"/>
          <w:sz w:val="30"/>
          <w:szCs w:val="30"/>
          <w:shd w:val="clear" w:fill="FFFFFF"/>
          <w:lang w:val="en-US"/>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第二十七条　建立健全自营业务内部报告制度，报告内容包括但不限于：投资决策执行情况、自营资产质量、自营盈亏情况、风险监控情况和其他重大事项等。</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董事和有关高级管理人员应当对自营业务内部报告进行阅签和反馈。</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200"/>
        <w:jc w:val="both"/>
        <w:textAlignment w:val="auto"/>
        <w:outlineLvl w:val="9"/>
        <w:rPr>
          <w:rFonts w:hint="eastAsia" w:ascii="仿宋" w:hAnsi="仿宋" w:eastAsia="仿宋" w:cs="仿宋"/>
          <w:b w:val="0"/>
          <w:i w:val="0"/>
          <w:caps w:val="0"/>
          <w:color w:val="000000"/>
          <w:spacing w:val="0"/>
          <w:sz w:val="30"/>
          <w:szCs w:val="30"/>
          <w:shd w:val="clear" w:fill="FFFFFF"/>
        </w:rPr>
      </w:pPr>
      <w:r>
        <w:rPr>
          <w:rFonts w:hint="eastAsia" w:ascii="仿宋" w:hAnsi="仿宋" w:eastAsia="仿宋" w:cs="仿宋"/>
          <w:b w:val="0"/>
          <w:i w:val="0"/>
          <w:caps w:val="0"/>
          <w:color w:val="000000"/>
          <w:spacing w:val="0"/>
          <w:sz w:val="30"/>
          <w:szCs w:val="30"/>
          <w:shd w:val="clear" w:fill="FFFFFF"/>
          <w:lang w:eastAsia="zh-CN"/>
        </w:rPr>
        <w:t>第二十八条</w:t>
      </w:r>
      <w:r>
        <w:rPr>
          <w:rFonts w:hint="eastAsia" w:ascii="仿宋" w:hAnsi="仿宋" w:eastAsia="仿宋" w:cs="仿宋"/>
          <w:b w:val="0"/>
          <w:i w:val="0"/>
          <w:caps w:val="0"/>
          <w:color w:val="000000"/>
          <w:spacing w:val="0"/>
          <w:sz w:val="30"/>
          <w:szCs w:val="30"/>
          <w:shd w:val="clear" w:fill="FFFFFF"/>
          <w:lang w:val="en-US" w:eastAsia="zh-CN"/>
        </w:rPr>
        <w:t xml:space="preserve"> </w:t>
      </w:r>
      <w:r>
        <w:rPr>
          <w:rFonts w:hint="eastAsia" w:ascii="仿宋" w:hAnsi="仿宋" w:eastAsia="仿宋" w:cs="仿宋"/>
          <w:b w:val="0"/>
          <w:i w:val="0"/>
          <w:caps w:val="0"/>
          <w:color w:val="000000"/>
          <w:spacing w:val="0"/>
          <w:sz w:val="30"/>
          <w:szCs w:val="30"/>
          <w:shd w:val="clear" w:fill="FFFFFF"/>
        </w:rPr>
        <w:t>建立健全自营业务信息报告制度，自觉接受外部监督。证券公司应当按照监管部门和证券交易所的要求报送自营业务信息。</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报告的内容包括：</w:t>
      </w:r>
    </w:p>
    <w:p>
      <w:pPr>
        <w:pStyle w:val="2"/>
        <w:keepNext w:val="0"/>
        <w:keepLines w:val="0"/>
        <w:pageBreakBefore w:val="0"/>
        <w:widowControl w:val="0"/>
        <w:numPr>
          <w:ilvl w:val="0"/>
          <w:numId w:val="2"/>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200"/>
        <w:jc w:val="both"/>
        <w:textAlignment w:val="auto"/>
        <w:outlineLvl w:val="9"/>
        <w:rPr>
          <w:rFonts w:hint="eastAsia" w:ascii="仿宋" w:hAnsi="仿宋" w:eastAsia="仿宋" w:cs="仿宋"/>
          <w:b w:val="0"/>
          <w:i w:val="0"/>
          <w:caps w:val="0"/>
          <w:color w:val="000000"/>
          <w:spacing w:val="0"/>
          <w:sz w:val="30"/>
          <w:szCs w:val="30"/>
          <w:shd w:val="clear" w:fill="FFFFFF"/>
        </w:rPr>
      </w:pPr>
      <w:r>
        <w:rPr>
          <w:rFonts w:hint="eastAsia" w:ascii="仿宋" w:hAnsi="仿宋" w:eastAsia="仿宋" w:cs="仿宋"/>
          <w:b w:val="0"/>
          <w:i w:val="0"/>
          <w:caps w:val="0"/>
          <w:color w:val="000000"/>
          <w:spacing w:val="0"/>
          <w:sz w:val="30"/>
          <w:szCs w:val="30"/>
          <w:shd w:val="clear" w:fill="FFFFFF"/>
        </w:rPr>
        <w:t>自营业务账户、席位情况；</w:t>
      </w:r>
    </w:p>
    <w:p>
      <w:pPr>
        <w:pStyle w:val="2"/>
        <w:keepNext w:val="0"/>
        <w:keepLines w:val="0"/>
        <w:pageBreakBefore w:val="0"/>
        <w:widowControl w:val="0"/>
        <w:numPr>
          <w:ilvl w:val="0"/>
          <w:numId w:val="2"/>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涉及自营业务规模、风险限额、资产配置、业务授权等方面的重大决策；</w:t>
      </w:r>
    </w:p>
    <w:p>
      <w:pPr>
        <w:pStyle w:val="2"/>
        <w:keepNext w:val="0"/>
        <w:keepLines w:val="0"/>
        <w:pageBreakBefore w:val="0"/>
        <w:widowControl w:val="0"/>
        <w:numPr>
          <w:ilvl w:val="0"/>
          <w:numId w:val="2"/>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自营风险监控报告；</w:t>
      </w:r>
    </w:p>
    <w:p>
      <w:pPr>
        <w:pStyle w:val="2"/>
        <w:keepNext w:val="0"/>
        <w:keepLines w:val="0"/>
        <w:pageBreakBefore w:val="0"/>
        <w:widowControl w:val="0"/>
        <w:numPr>
          <w:ilvl w:val="0"/>
          <w:numId w:val="2"/>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其他需要报告的事项。</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第二十九条</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明确自营业务信息报告的负责部门、报告流程和责任人，对报告信息存在虚假记载、误导性陈述或重大遗漏负有直接责任和领导责任的人员要给予相应的处理，并及时向监管部门报告。</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rPr>
        <w:t>第六章 附则</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b w:val="0"/>
          <w:i w:val="0"/>
          <w:caps w:val="0"/>
          <w:color w:val="000000"/>
          <w:spacing w:val="0"/>
          <w:sz w:val="30"/>
          <w:szCs w:val="30"/>
          <w:shd w:val="clear" w:fill="FFFFFF"/>
          <w:lang w:val="en-US"/>
        </w:rPr>
      </w:pPr>
      <w:r>
        <w:rPr>
          <w:rFonts w:hint="eastAsia" w:ascii="仿宋" w:hAnsi="仿宋" w:eastAsia="仿宋" w:cs="仿宋"/>
          <w:b w:val="0"/>
          <w:i w:val="0"/>
          <w:caps w:val="0"/>
          <w:color w:val="000000"/>
          <w:spacing w:val="0"/>
          <w:sz w:val="30"/>
          <w:szCs w:val="30"/>
          <w:shd w:val="clear" w:fill="FFFFFF"/>
        </w:rPr>
        <w:t>　　第三十条</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本指引由中国证券业协会负责解释。</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200"/>
        <w:jc w:val="both"/>
        <w:textAlignment w:val="auto"/>
        <w:outlineLvl w:val="9"/>
        <w:rPr>
          <w:rFonts w:hint="eastAsia" w:ascii="仿宋" w:hAnsi="仿宋" w:eastAsia="仿宋" w:cs="仿宋"/>
          <w:b w:val="0"/>
          <w:i w:val="0"/>
          <w:caps w:val="0"/>
          <w:color w:val="000000"/>
          <w:spacing w:val="0"/>
          <w:sz w:val="30"/>
          <w:szCs w:val="30"/>
          <w:shd w:val="clear" w:fill="FFFFFF"/>
          <w:lang w:val="en-US"/>
        </w:rPr>
      </w:pPr>
      <w:r>
        <w:rPr>
          <w:rFonts w:hint="eastAsia" w:ascii="仿宋" w:hAnsi="仿宋" w:eastAsia="仿宋" w:cs="仿宋"/>
          <w:b w:val="0"/>
          <w:i w:val="0"/>
          <w:caps w:val="0"/>
          <w:color w:val="000000"/>
          <w:spacing w:val="0"/>
          <w:sz w:val="30"/>
          <w:szCs w:val="30"/>
          <w:shd w:val="clear" w:fill="FFFFFF"/>
        </w:rPr>
        <w:t>第三十一条</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本指引有关用语定义如下：</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numPr>
          <w:ilvl w:val="0"/>
          <w:numId w:val="3"/>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200"/>
        <w:jc w:val="both"/>
        <w:textAlignment w:val="auto"/>
        <w:outlineLvl w:val="9"/>
        <w:rPr>
          <w:rFonts w:hint="eastAsia" w:ascii="仿宋" w:hAnsi="仿宋" w:eastAsia="仿宋" w:cs="仿宋"/>
          <w:b w:val="0"/>
          <w:i w:val="0"/>
          <w:caps w:val="0"/>
          <w:color w:val="000000"/>
          <w:spacing w:val="0"/>
          <w:sz w:val="30"/>
          <w:szCs w:val="30"/>
          <w:shd w:val="clear" w:fill="FFFFFF"/>
          <w:lang w:val="en-US"/>
        </w:rPr>
      </w:pPr>
      <w:r>
        <w:rPr>
          <w:rFonts w:hint="eastAsia" w:ascii="仿宋" w:hAnsi="仿宋" w:eastAsia="仿宋" w:cs="仿宋"/>
          <w:b w:val="0"/>
          <w:i w:val="0"/>
          <w:caps w:val="0"/>
          <w:color w:val="000000"/>
          <w:spacing w:val="0"/>
          <w:sz w:val="30"/>
          <w:szCs w:val="30"/>
          <w:shd w:val="clear" w:fill="FFFFFF"/>
        </w:rPr>
        <w:t>风险敞口：是指在某一时段内，证券公司持有某一证券品种的多头头寸与空头头寸不一致时，所产生的差额形成的证券敞口（净头寸）。</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numPr>
          <w:ilvl w:val="0"/>
          <w:numId w:val="3"/>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风险监控阀值：是设置在风险监控系统中用于控制某种风险的指标。风险监控阀值通常包括交易限额、风险限额及止盈止损限额等。</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numPr>
          <w:ilvl w:val="0"/>
          <w:numId w:val="3"/>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敏感性分析：是指在保持其他条件不变的前提下，研究单个或多个市场风险因素（利率、汇率和股票价格等）的变化对金融产品及其组合的市场价值可能产生的影响。</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numPr>
          <w:ilvl w:val="0"/>
          <w:numId w:val="3"/>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压力测试：度量公司在非正常的市场状态下承受的市场风险的大小，是对极端市场情景下，如利率、汇率、股票价格等市场风险因素发生剧烈变动或发生意外的政治和经济事件等，对金融产品及其组合损失的评估。</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第三十二条</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本指引自发布之日起实施。</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4DD6FE"/>
    <w:multiLevelType w:val="singleLevel"/>
    <w:tmpl w:val="5A4DD6FE"/>
    <w:lvl w:ilvl="0" w:tentative="0">
      <w:start w:val="11"/>
      <w:numFmt w:val="chineseCounting"/>
      <w:suff w:val="nothing"/>
      <w:lvlText w:val="第%1条　"/>
      <w:lvlJc w:val="left"/>
    </w:lvl>
  </w:abstractNum>
  <w:abstractNum w:abstractNumId="1">
    <w:nsid w:val="5A4DD759"/>
    <w:multiLevelType w:val="singleLevel"/>
    <w:tmpl w:val="5A4DD759"/>
    <w:lvl w:ilvl="0" w:tentative="0">
      <w:start w:val="1"/>
      <w:numFmt w:val="chineseCounting"/>
      <w:suff w:val="nothing"/>
      <w:lvlText w:val="（%1）"/>
      <w:lvlJc w:val="left"/>
    </w:lvl>
  </w:abstractNum>
  <w:abstractNum w:abstractNumId="2">
    <w:nsid w:val="5A4DD780"/>
    <w:multiLevelType w:val="singleLevel"/>
    <w:tmpl w:val="5A4DD780"/>
    <w:lvl w:ilvl="0" w:tentative="0">
      <w:start w:val="1"/>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37515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ヾ左岸の烟づ</cp:lastModifiedBy>
  <dcterms:modified xsi:type="dcterms:W3CDTF">2018-01-04T06:48:26Z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